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 w:before="1200"/>
        <w:jc w:val="center"/>
      </w:pPr>
      <w:r>
        <w:rPr>
          <w:rFonts w:ascii="Microsoft YaHei" w:cs="Microsoft YaHei" w:eastAsia="Microsoft YaHei" w:hAnsi="Microsoft YaHei"/>
          <w:b/>
          <w:bCs/>
          <w:color w:val="1F4E79"/>
          <w:sz w:val="56"/>
          <w:szCs w:val="56"/>
        </w:rPr>
        <w:t xml:space="preserve">木制品出口合规指南</w:t>
      </w:r>
    </w:p>
    <w:p>
      <w:pPr>
        <w:spacing w:after="800"/>
        <w:jc w:val="center"/>
      </w:pPr>
      <w:r>
        <w:rPr>
          <w:rFonts w:ascii="Microsoft YaHei" w:cs="Microsoft YaHei" w:eastAsia="Microsoft YaHei" w:hAnsi="Microsoft YaHei"/>
          <w:color w:val="595959"/>
          <w:sz w:val="26"/>
          <w:szCs w:val="26"/>
        </w:rPr>
        <w:t xml:space="preserve">熏蒸与许可证 · 正常出口报关流程 · 买单出口风险</w:t>
      </w:r>
    </w:p>
    <w:p>
      <w:pPr>
        <w:spacing w:after="120"/>
        <w:jc w:val="center"/>
      </w:pPr>
      <w:r>
        <w:rPr>
          <w:rFonts w:ascii="Microsoft YaHei" w:cs="Microsoft YaHei" w:eastAsia="Microsoft YaHei" w:hAnsi="Microsoft YaHei"/>
          <w:color w:val="7F7F7F"/>
          <w:sz w:val="22"/>
          <w:szCs w:val="22"/>
        </w:rPr>
        <w:t xml:space="preserve">WOOD WORLD · 专业全球木材供应链  出口业务参考资料</w:t>
      </w:r>
    </w:p>
    <w:p>
      <w:pPr>
        <w:jc w:val="center"/>
      </w:pPr>
      <w:r>
        <w:rPr>
          <w:rFonts w:ascii="Microsoft YaHei" w:cs="Microsoft YaHei" w:eastAsia="Microsoft YaHei" w:hAnsi="Microsoft YaHei"/>
          <w:color w:val="7F7F7F"/>
          <w:sz w:val="22"/>
          <w:szCs w:val="22"/>
        </w:rPr>
        <w:t xml:space="preserve">编制日期：2026 年 8 月</w:t>
      </w:r>
    </w:p>
    <w:p>
      <w:r>
        <w:rPr>
          <w:rFonts w:ascii="Microsoft YaHei" w:cs="Microsoft YaHei" w:eastAsia="Microsoft YaHei" w:hAnsi="Microsoft YaHei"/>
        </w:rPr>
        <w:t xml:space="preserve"/>
      </w:r>
    </w:p>
    <w:p>
      <w:pPr>
        <w:pStyle w:val="Heading1"/>
        <w:spacing w:after="160" w:before="320"/>
      </w:pPr>
      <w:r>
        <w:rPr>
          <w:rFonts w:ascii="Microsoft YaHei" w:cs="Microsoft YaHei" w:eastAsia="Microsoft YaHei" w:hAnsi="Microsoft YaHei"/>
          <w:b/>
          <w:bCs/>
          <w:color w:val="1F4E79"/>
          <w:sz w:val="32"/>
          <w:szCs w:val="32"/>
        </w:rPr>
        <w:t xml:space="preserve">一、哪些木材商品需要出口许可证和熏蒸？</w:t>
      </w:r>
    </w:p>
    <w:p>
      <w:r>
        <w:rPr>
          <w:rFonts w:ascii="Microsoft YaHei" w:cs="Microsoft YaHei" w:eastAsia="Microsoft YaHei" w:hAnsi="Microsoft YaHei"/>
        </w:rPr>
        <w:t xml:space="preserve">依据 IPPC 国际植物检疫措施标准第 15 号（ISPM15），中国自 2009 年 7 月 1 日起对出境木质包装及部分植物源性货物严格执行熏蒸/热处理监管。</w:t>
      </w:r>
    </w:p>
    <w:p>
      <w:pPr>
        <w:pStyle w:val="Heading2"/>
        <w:spacing w:after="120" w:before="240"/>
      </w:pPr>
      <w:r>
        <w:rPr>
          <w:rFonts w:ascii="Microsoft YaHei" w:cs="Microsoft YaHei" w:eastAsia="Microsoft YaHei" w:hAnsi="Microsoft YaHei"/>
          <w:b/>
          <w:bCs/>
          <w:color w:val="2E74B5"/>
          <w:sz w:val="26"/>
          <w:szCs w:val="26"/>
        </w:rPr>
        <w:t xml:space="preserve">1.1 必须熏蒸的货物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/>
          <w:bCs/>
        </w:rPr>
        <w:t xml:space="preserve">实木包装及容器（最常见）：实木托盘、木箱、木架、垫木、木轴、枕木、木衬板、木楔等；厚度超过 6mm 的实木薄板亦需处理。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植物源性货物本身：原木、初加工木制品（实木家具、木制工艺品）、竹/藤/草/柳等天然编制品（竹筐、藤编家具、草席）、谷物/种子/干果/棉花等农产品。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特殊货物：附带实木包装或植物纤维填充物的二手设备/机械，附着土壤或植物残留的设备。</w:t>
      </w:r>
    </w:p>
    <w:p>
      <w:pPr>
        <w:spacing w:after="60" w:before="120"/>
      </w:pPr>
      <w:r>
        <w:rPr>
          <w:rFonts w:ascii="Microsoft YaHei" w:cs="Microsoft YaHei" w:eastAsia="Microsoft YaHei" w:hAnsi="Microsoft YaHei"/>
        </w:rPr>
        <w:t xml:space="preserve">处理方式二选一（效力等同）：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化学熏蒸（溴甲烷 MB）：密闭熏蒸 24 小时以上，环境温度不低于 5℃；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热处理（HT）：木材中心温度 ≥56℃ 持续 30 分钟；输美木制工艺品要求中心温度 ≥60℃ 持续 60 分钟以上。</w:t>
      </w:r>
    </w:p>
    <w:p>
      <w:pPr>
        <w:pStyle w:val="Heading2"/>
        <w:spacing w:after="120" w:before="240"/>
      </w:pPr>
      <w:r>
        <w:rPr>
          <w:rFonts w:ascii="Microsoft YaHei" w:cs="Microsoft YaHei" w:eastAsia="Microsoft YaHei" w:hAnsi="Microsoft YaHei"/>
          <w:b/>
          <w:bCs/>
          <w:color w:val="2E74B5"/>
          <w:sz w:val="26"/>
          <w:szCs w:val="26"/>
        </w:rPr>
        <w:t xml:space="preserve">1.2 免熏蒸的货物（无需 IPPC 标识）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厚度 ≤6mm 的薄木材制造的包装；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高温高压合成的人造板：胶合板、密度板、刨花板、纤维板、多层复合板、OSB、MDF、强化木地板等；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加热过的葡萄酒/饮料包装木桶；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已去除有害生物的木料制成的礼品盒（葡萄酒、雪茄等）；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锯木粉、刨花、锯毛；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永久附着于运输车辆/集装箱的木质配件。</w:t>
      </w:r>
    </w:p>
    <w:p>
      <w:pPr>
        <w:pStyle w:val="Heading2"/>
        <w:spacing w:after="120" w:before="240"/>
      </w:pPr>
      <w:r>
        <w:rPr>
          <w:rFonts w:ascii="Microsoft YaHei" w:cs="Microsoft YaHei" w:eastAsia="Microsoft YaHei" w:hAnsi="Microsoft YaHei"/>
          <w:b/>
          <w:bCs/>
          <w:color w:val="2E74B5"/>
          <w:sz w:val="26"/>
          <w:szCs w:val="26"/>
        </w:rPr>
        <w:t xml:space="preserve">1.3 关键细节与注意事项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/>
          <w:bCs/>
        </w:rPr>
        <w:t xml:space="preserve">IPPC 标识须烙印或激光刻印（含国际专用符号、国家代码、处理企业注册号、处理方式 HT/MB），纸质贴纸不被各国海关认可；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熏蒸证书有效期 21 天，需在有效期内完成出口清关出运；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出口许可证：普通木制品出口一般无需出口许可证；涉及 CITES 附录濒危材种（如部分红木、柚木）必须办理濒危物种允许出口证明，出口退税为 0；出口欧盟等市场通常还需 FSC 合法来源认证；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木质包装不得有树皮、霉变、虫眼，含水率 ≤20%；熏蒸后需散毒 4 小时方可入港；建议提前 7-8 天预约熏蒸。</w:t>
      </w:r>
    </w:p>
    <w:p>
      <w:pPr>
        <w:pStyle w:val="Heading1"/>
        <w:spacing w:after="160" w:before="320"/>
      </w:pPr>
      <w:r>
        <w:rPr>
          <w:rFonts w:ascii="Microsoft YaHei" w:cs="Microsoft YaHei" w:eastAsia="Microsoft YaHei" w:hAnsi="Microsoft YaHei"/>
          <w:b/>
          <w:bCs/>
          <w:color w:val="1F4E79"/>
          <w:sz w:val="32"/>
          <w:szCs w:val="32"/>
        </w:rPr>
        <w:t xml:space="preserve">二、正常出口报关流程（一般贸易）</w:t>
      </w:r>
    </w:p>
    <w:p>
      <w:r>
        <w:rPr>
          <w:rFonts w:ascii="Microsoft YaHei" w:cs="Microsoft YaHei" w:eastAsia="Microsoft YaHei" w:hAnsi="Microsoft YaHei"/>
        </w:rPr>
        <w:t xml:space="preserve">木制品出口与普通货物相比更繁琐，关键差异在于必须提前办理检验检疫。以下为一般贸易完整流程：</w:t>
      </w:r>
    </w:p>
    <w:p>
      <w:pPr>
        <w:pStyle w:val="Heading2"/>
        <w:spacing w:after="120" w:before="240"/>
      </w:pPr>
      <w:r>
        <w:rPr>
          <w:rFonts w:ascii="Microsoft YaHei" w:cs="Microsoft YaHei" w:eastAsia="Microsoft YaHei" w:hAnsi="Microsoft YaHei"/>
          <w:b/>
          <w:bCs/>
          <w:color w:val="2E74B5"/>
          <w:sz w:val="26"/>
          <w:szCs w:val="26"/>
        </w:rPr>
        <w:t xml:space="preserve">第 1 步　前期准备（发货前 1-2 个月）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办理进出口经营权备案、电子口岸/国际贸易单一窗口注册；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木质家具、竹木草制品生产企业须在属地海关完成“竹木草制品生产加工企业备案”（出口检疫前置条件）；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木制品属法定检验（法检 B 类）商品，须提前约 1 周向检验检疫机构申报，海关可能上门验货。</w:t>
      </w:r>
    </w:p>
    <w:p>
      <w:pPr>
        <w:pStyle w:val="Heading2"/>
        <w:spacing w:after="120" w:before="240"/>
      </w:pPr>
      <w:r>
        <w:rPr>
          <w:rFonts w:ascii="Microsoft YaHei" w:cs="Microsoft YaHei" w:eastAsia="Microsoft YaHei" w:hAnsi="Microsoft YaHei"/>
          <w:b/>
          <w:bCs/>
          <w:color w:val="2E74B5"/>
          <w:sz w:val="26"/>
          <w:szCs w:val="26"/>
        </w:rPr>
        <w:t xml:space="preserve">第 2 步　备齐单证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基础单证：贸易合同、商业发票、装箱单、报关委托书、提单；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法检必备：《出境货物通关单（植物检疫证书）》、厂检记录单；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包装单证：实木包装带 IPPC 标识；无实木包装提供“无木质包装声明”；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目的国认证（按市场）：FSC（欧盟）、CE（欧盟）、CARB/EPA 甲醛认证（美国）等。</w:t>
      </w:r>
    </w:p>
    <w:p>
      <w:pPr>
        <w:pStyle w:val="Heading2"/>
        <w:spacing w:after="120" w:before="240"/>
      </w:pPr>
      <w:r>
        <w:rPr>
          <w:rFonts w:ascii="Microsoft YaHei" w:cs="Microsoft YaHei" w:eastAsia="Microsoft YaHei" w:hAnsi="Microsoft YaHei"/>
          <w:b/>
          <w:bCs/>
          <w:color w:val="2E74B5"/>
          <w:sz w:val="26"/>
          <w:szCs w:val="26"/>
        </w:rPr>
        <w:t xml:space="preserve">第 3 步　电子申报（装货前 24 小时）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通过中国国际贸易“单一窗口”进行电子申报；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HS 编码准确归类（家具类主要涉及 9401-9403 系列），品名详尽（如“榉木实木餐桌”），切忌笼统申报“家具”“板材”。</w:t>
      </w:r>
    </w:p>
    <w:p>
      <w:pPr>
        <w:pStyle w:val="Heading2"/>
        <w:spacing w:after="120" w:before="240"/>
      </w:pPr>
      <w:r>
        <w:rPr>
          <w:rFonts w:ascii="Microsoft YaHei" w:cs="Microsoft YaHei" w:eastAsia="Microsoft YaHei" w:hAnsi="Microsoft YaHei"/>
          <w:b/>
          <w:bCs/>
          <w:color w:val="2E74B5"/>
          <w:sz w:val="26"/>
          <w:szCs w:val="26"/>
        </w:rPr>
        <w:t xml:space="preserve">第 4 步　海关审单与查验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海关按风险分析审单布控（一般货物查验率约 3%-5%），机检或人工开箱核对；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木制品重点核查材种、实物与包装标识；濒危木材重点核查单证。</w:t>
      </w:r>
    </w:p>
    <w:p>
      <w:pPr>
        <w:pStyle w:val="Heading2"/>
        <w:spacing w:after="120" w:before="240"/>
      </w:pPr>
      <w:r>
        <w:rPr>
          <w:rFonts w:ascii="Microsoft YaHei" w:cs="Microsoft YaHei" w:eastAsia="Microsoft YaHei" w:hAnsi="Microsoft YaHei"/>
          <w:b/>
          <w:bCs/>
          <w:color w:val="2E74B5"/>
          <w:sz w:val="26"/>
          <w:szCs w:val="26"/>
        </w:rPr>
        <w:t xml:space="preserve">第 5 步　放行装运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缴清应征税费后放行（多数出口货物免征关税）；签注放行后装船出运；报关单退税联妥善留存。</w:t>
      </w:r>
    </w:p>
    <w:p>
      <w:pPr>
        <w:pStyle w:val="Heading2"/>
        <w:spacing w:after="120" w:before="240"/>
      </w:pPr>
      <w:r>
        <w:rPr>
          <w:rFonts w:ascii="Microsoft YaHei" w:cs="Microsoft YaHei" w:eastAsia="Microsoft YaHei" w:hAnsi="Microsoft YaHei"/>
          <w:b/>
          <w:bCs/>
          <w:color w:val="2E74B5"/>
          <w:sz w:val="26"/>
          <w:szCs w:val="26"/>
        </w:rPr>
        <w:t xml:space="preserve">第 6 步　后续管理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收汇后凭增值税专用发票及退税联办理出口退税；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出口单证保存至少 3 年备查；配合海关、外汇、税务后续核查。</w:t>
      </w:r>
    </w:p>
    <w:p>
      <w:pPr>
        <w:pStyle w:val="Heading1"/>
        <w:spacing w:after="160" w:before="320"/>
      </w:pPr>
      <w:r>
        <w:rPr>
          <w:rFonts w:ascii="Microsoft YaHei" w:cs="Microsoft YaHei" w:eastAsia="Microsoft YaHei" w:hAnsi="Microsoft YaHei"/>
          <w:b/>
          <w:bCs/>
          <w:color w:val="1F4E79"/>
          <w:sz w:val="32"/>
          <w:szCs w:val="32"/>
        </w:rPr>
        <w:t xml:space="preserve">三、买单出口方式及附带风险</w:t>
      </w:r>
    </w:p>
    <w:p>
      <w:pPr>
        <w:pStyle w:val="Heading2"/>
        <w:spacing w:after="120" w:before="240"/>
      </w:pPr>
      <w:r>
        <w:rPr>
          <w:rFonts w:ascii="Microsoft YaHei" w:cs="Microsoft YaHei" w:eastAsia="Microsoft YaHei" w:hAnsi="Microsoft YaHei"/>
          <w:b/>
          <w:bCs/>
          <w:color w:val="2E74B5"/>
          <w:sz w:val="26"/>
          <w:szCs w:val="26"/>
        </w:rPr>
        <w:t xml:space="preserve">3.1 什么是买单出口</w:t>
      </w:r>
    </w:p>
    <w:p>
      <w:r>
        <w:rPr>
          <w:rFonts w:ascii="Microsoft YaHei" w:cs="Microsoft YaHei" w:eastAsia="Microsoft YaHei" w:hAnsi="Microsoft YaHei"/>
        </w:rPr>
        <w:t xml:space="preserve">无进出口经营权（或不愿使用自身抬头）的企业/个人，通过购买第三方有资质公司的空白报关单证，以该公司名义办理出口报关的操作模式。本质是报关主体与实际货主不一致，货物流、资金流、票据流、合同流相互割裂，属借用他人名义出口的灰色操作。</w:t>
      </w:r>
    </w:p>
    <w:p>
      <w:pPr>
        <w:pStyle w:val="Heading2"/>
        <w:spacing w:after="120" w:before="240"/>
      </w:pPr>
      <w:r>
        <w:rPr>
          <w:rFonts w:ascii="Microsoft YaHei" w:cs="Microsoft YaHei" w:eastAsia="Microsoft YaHei" w:hAnsi="Microsoft YaHei"/>
          <w:b/>
          <w:bCs/>
          <w:color w:val="2E74B5"/>
          <w:sz w:val="26"/>
          <w:szCs w:val="26"/>
        </w:rPr>
        <w:t xml:space="preserve">3.2 常见动因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企业无进出口经营权或资质不全；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货量小、货值低，退税金额不划算；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上游采购无法取得增值税专用发票；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产品不合规、不想以自己抬头申报。</w:t>
      </w:r>
    </w:p>
    <w:p>
      <w:pPr>
        <w:pStyle w:val="Heading2"/>
        <w:spacing w:after="120" w:before="240"/>
      </w:pPr>
      <w:r>
        <w:rPr>
          <w:rFonts w:ascii="Microsoft YaHei" w:cs="Microsoft YaHei" w:eastAsia="Microsoft YaHei" w:hAnsi="Microsoft YaHei"/>
          <w:b/>
          <w:bCs/>
          <w:color w:val="2E74B5"/>
          <w:sz w:val="26"/>
          <w:szCs w:val="26"/>
        </w:rPr>
        <w:t xml:space="preserve">3.3 主要风险一览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900"/>
        <w:gridCol w:w="2900"/>
        <w:gridCol w:w="4226"/>
      </w:tblGrid>
      <w:tr>
        <w:trPr>
          <w:tblHeader/>
        </w:trPr>
        <w:tc>
          <w:tcPr>
            <w:tcW w:type="dxa" w:w="1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D9E2F3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风险层面</w:t>
            </w:r>
          </w:p>
        </w:tc>
        <w:tc>
          <w:tcPr>
            <w:tcW w:type="dxa" w:w="2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D9E2F3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风险内容</w:t>
            </w:r>
          </w:p>
        </w:tc>
        <w:tc>
          <w:tcPr>
            <w:tcW w:type="dxa" w:w="4226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D9E2F3" w:val="clear"/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后果与依据</w:t>
            </w:r>
          </w:p>
        </w:tc>
      </w:tr>
      <w:tr>
        <w:trPr>
          <w:tblHeader w:val="false"/>
        </w:trPr>
        <w:tc>
          <w:tcPr>
            <w:tcW w:type="dxa" w:w="1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海关</w:t>
            </w:r>
          </w:p>
        </w:tc>
        <w:tc>
          <w:tcPr>
            <w:tcW w:type="dxa" w:w="2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买卖海关单证、申报不实</w:t>
            </w:r>
          </w:p>
        </w:tc>
        <w:tc>
          <w:tcPr>
            <w:tcW w:type="dxa" w:w="4226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《海关行政处罚实施条例》：买卖单证罚 5 万-50 万元并没收违法所得；申报不实按申报价格 10%-50% 罚款；情节严重追刑责；“货代操作”不能免责</w:t>
            </w:r>
          </w:p>
        </w:tc>
      </w:tr>
      <w:tr>
        <w:trPr>
          <w:tblHeader w:val="false"/>
        </w:trPr>
        <w:tc>
          <w:tcPr>
            <w:tcW w:type="dxa" w:w="1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税务</w:t>
            </w:r>
          </w:p>
        </w:tc>
        <w:tc>
          <w:tcPr>
            <w:tcW w:type="dxa" w:w="2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无进项发票、隐匿收入</w:t>
            </w:r>
          </w:p>
        </w:tc>
        <w:tc>
          <w:tcPr>
            <w:tcW w:type="dxa" w:w="4226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增值税 13% 全额视同内销补缴；企业所得税按核定利润率补缴；偷税另处 0.5-5 倍罚款；货款入私卡被穿透认定分红，补缴 20% 个税</w:t>
            </w:r>
          </w:p>
        </w:tc>
      </w:tr>
      <w:tr>
        <w:trPr>
          <w:tblHeader w:val="false"/>
        </w:trPr>
        <w:tc>
          <w:tcPr>
            <w:tcW w:type="dxa" w:w="1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刑事</w:t>
            </w:r>
          </w:p>
        </w:tc>
        <w:tc>
          <w:tcPr>
            <w:tcW w:type="dxa" w:w="2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逃税、骗税、虚开</w:t>
            </w:r>
          </w:p>
        </w:tc>
        <w:tc>
          <w:tcPr>
            <w:tcW w:type="dxa" w:w="4226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逃税罪（10 万元以上且占比 10% 以上立案）；骗取出口退税罪（最高无期徒刑，罚金 1-5 倍）；虚开增值税专用发票罪</w:t>
            </w:r>
          </w:p>
        </w:tc>
      </w:tr>
      <w:tr>
        <w:trPr>
          <w:tblHeader w:val="false"/>
        </w:trPr>
        <w:tc>
          <w:tcPr>
            <w:tcW w:type="dxa" w:w="1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外汇资金</w:t>
            </w:r>
          </w:p>
        </w:tc>
        <w:tc>
          <w:tcPr>
            <w:tcW w:type="dxa" w:w="2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货物流与收汇主体不一致</w:t>
            </w:r>
          </w:p>
        </w:tc>
        <w:tc>
          <w:tcPr>
            <w:tcW w:type="dxa" w:w="4226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违反《外汇管理条例》，构成逃汇/违规结汇；私户收汇触发反洗钱监测、账户被冻结；壳公司/货代截留货款风险高、维权举证难</w:t>
            </w:r>
          </w:p>
        </w:tc>
      </w:tr>
      <w:tr>
        <w:trPr>
          <w:tblHeader w:val="false"/>
        </w:trPr>
        <w:tc>
          <w:tcPr>
            <w:tcW w:type="dxa" w:w="1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信用经营</w:t>
            </w:r>
          </w:p>
        </w:tc>
        <w:tc>
          <w:tcPr>
            <w:tcW w:type="dxa" w:w="2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失信记录、信用降级</w:t>
            </w:r>
          </w:p>
        </w:tc>
        <w:tc>
          <w:tcPr>
            <w:tcW w:type="dxa" w:w="4226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列入海关失信名单后 100% 人工查验、通关周期拉长；纳税信用降为 D 级；追溯期 3-5 年，退税案件无限期倒查</w:t>
            </w:r>
          </w:p>
        </w:tc>
      </w:tr>
      <w:tr>
        <w:trPr>
          <w:tblHeader w:val="false"/>
        </w:trPr>
        <w:tc>
          <w:tcPr>
            <w:tcW w:type="dxa" w:w="1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监管趋势</w:t>
            </w:r>
          </w:p>
        </w:tc>
        <w:tc>
          <w:tcPr>
            <w:tcW w:type="dxa" w:w="29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数据互通、实质审查</w:t>
            </w:r>
          </w:p>
        </w:tc>
        <w:tc>
          <w:tcPr>
            <w:tcW w:type="dxa" w:w="4226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00"/>
              <w:left w:type="dxa" w:w="140"/>
              <w:bottom w:type="dxa" w:w="100"/>
              <w:right w:type="dxa" w:w="140"/>
            </w:tcMar>
            <w:vAlign w:val="center"/>
          </w:tcPr>
          <w:p>
            <w:r>
              <w:rPr>
                <w:rFonts w:ascii="Microsoft YaHei" w:cs="Microsoft YaHei" w:eastAsia="Microsoft YaHei" w:hAnsi="Microsoft YaHei"/>
              </w:rPr>
              <w:t xml:space="preserve">金税四期打通海关/税务/银行数据；税务总局 2025 年 17 号公告要求卖单企业报送真实货主，否则整单视同自营收入征税；海关拟强化报关企业实质审查义务</w:t>
            </w:r>
          </w:p>
        </w:tc>
      </w:tr>
    </w:tbl>
    <w:p>
      <w:pPr>
        <w:spacing w:after="100" w:before="200"/>
      </w:pPr>
      <w:r>
        <w:rPr>
          <w:rFonts w:ascii="Microsoft YaHei" w:cs="Microsoft YaHei" w:eastAsia="Microsoft YaHei" w:hAnsi="Microsoft YaHei"/>
          <w:i/>
          <w:iCs/>
          <w:color w:val="7F3F00"/>
          <w:sz w:val="21"/>
          <w:szCs w:val="21"/>
        </w:rPr>
        <w:t xml:space="preserve">典型案例：天津 4 户企业买单配票骗取出口退税，被追缴税款 5737 万元并处罚款 1.72 亿元、停止办理退税 2 年，案件移送公安机关追究刑事责任。</w:t>
      </w:r>
    </w:p>
    <w:p>
      <w:pPr>
        <w:pStyle w:val="Heading2"/>
        <w:spacing w:after="120" w:before="240"/>
      </w:pPr>
      <w:r>
        <w:rPr>
          <w:rFonts w:ascii="Microsoft YaHei" w:cs="Microsoft YaHei" w:eastAsia="Microsoft YaHei" w:hAnsi="Microsoft YaHei"/>
          <w:b/>
          <w:bCs/>
          <w:color w:val="2E74B5"/>
          <w:sz w:val="26"/>
          <w:szCs w:val="26"/>
        </w:rPr>
        <w:t xml:space="preserve">3.4 合规替代方案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/>
          <w:bCs/>
        </w:rPr>
        <w:t xml:space="preserve">正规委托代理出口：与有资质外贸企业签订真实委托协议，实现四流闭环，费用约为货值 1.2% 左右，安全性远高于买单出口；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1039 市场采购贸易：国家法定外贸新业态，增值税免征不退、无需进项发票，个体工商户核定征收，综合税负约 0.4%，适合无票采购的中小微商户，可合规结汇；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自建进出口经营权：扩大经营范围，从根本上摆脱对买单出口的依赖。</w:t>
      </w:r>
    </w:p>
    <w:p>
      <w:pPr>
        <w:pStyle w:val="Heading1"/>
        <w:spacing w:after="160" w:before="320"/>
      </w:pPr>
      <w:r>
        <w:rPr>
          <w:rFonts w:ascii="Microsoft YaHei" w:cs="Microsoft YaHei" w:eastAsia="Microsoft YaHei" w:hAnsi="Microsoft YaHei"/>
          <w:b/>
          <w:bCs/>
          <w:color w:val="1F4E79"/>
          <w:sz w:val="32"/>
          <w:szCs w:val="32"/>
        </w:rPr>
        <w:t xml:space="preserve">四、给木制品出口企业的实务建议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/>
          <w:bCs/>
        </w:rPr>
        <w:t xml:space="preserve">人造板类（胶合板、密度板等）属免熏蒸品类，通关成本低、手续简便，适合作为出口主力品类重点推广；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实木家具、原木出口需提前安排植检、熏蒸及 IPPC 标识，严格把控 21 天证书有效期；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濒危材种务必办理 CITES 许可证并如实申报（退税为 0，不可虚报品名规避监管）；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出口申报坚持单证一致原则：报关单、发票、箱单、提单上的收发人、品名、数量、重量、金额必须完全一致；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Microsoft YaHei" w:cs="Microsoft YaHei" w:eastAsia="Microsoft YaHei" w:hAnsi="Microsoft YaHei"/>
          <w:b w:val="false"/>
          <w:bCs w:val="false"/>
        </w:rPr>
        <w:t xml:space="preserve">提前确认目的国检疫与认证要求（如输澳《溴甲烷熏蒸方法 3.0 版》2025 年 7 月 1 日起施行），避免到港扣关、退运。</w:t>
      </w:r>
    </w:p>
    <w:p>
      <w:pPr>
        <w:spacing w:after="100" w:before="400"/>
      </w:pPr>
      <w:r>
        <w:rPr>
          <w:rFonts w:ascii="Microsoft YaHei" w:cs="Microsoft YaHei" w:eastAsia="Microsoft YaHei" w:hAnsi="Microsoft YaHei"/>
          <w:i/>
          <w:iCs/>
          <w:color w:val="808080"/>
          <w:sz w:val="18"/>
          <w:szCs w:val="18"/>
        </w:rPr>
        <w:t xml:space="preserve">免责声明：本指南依据公开法规与行业实务整理，仅供参考，不构成法律意见；具体操作请以海关总署及目的国最新规定为准。</w:t>
      </w:r>
    </w:p>
    <w:sectPr>
      <w:footerReference w:type="default" r:id="rId7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Microsoft YaHei" w:cs="Microsoft YaHei" w:eastAsia="Microsoft YaHei" w:hAnsi="Microsoft YaHei"/>
        <w:color w:val="808080"/>
        <w:sz w:val="18"/>
        <w:szCs w:val="18"/>
      </w:rPr>
      <w:t xml:space="preserve">WOOD WORLD · 木制品出口合规指南 · 第 </w:t>
    </w:r>
    <w:r>
      <w:rPr>
        <w:rFonts w:ascii="Microsoft YaHei" w:cs="Microsoft YaHei" w:eastAsia="Microsoft YaHei" w:hAnsi="Microsoft YaHei"/>
        <w:color w:val="808080"/>
        <w:sz w:val="18"/>
        <w:szCs w:val="18"/>
      </w:rPr>
      <w:fldChar w:fldCharType="begin"/>
      <w:instrText xml:space="preserve">PAGE</w:instrText>
      <w:fldChar w:fldCharType="separate"/>
      <w:fldChar w:fldCharType="end"/>
    </w:r>
    <w:r>
      <w:rPr>
        <w:rFonts w:ascii="Microsoft YaHei" w:cs="Microsoft YaHei" w:eastAsia="Microsoft YaHei" w:hAnsi="Microsoft YaHei"/>
        <w:color w:val="808080"/>
        <w:sz w:val="18"/>
        <w:szCs w:val="18"/>
      </w:rPr>
      <w:t xml:space="preserve"> 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620" w:hanging="28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620" w:hanging="32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60" w:before="320"/>
      <w:outlineLvl w:val="0"/>
    </w:pPr>
    <w:rPr>
      <w:rFonts w:ascii="Microsoft YaHei" w:cs="Microsoft YaHei" w:eastAsia="Microsoft YaHei" w:hAnsi="Microsoft YaHei"/>
      <w:b/>
      <w:bCs/>
      <w:color w:val="1F4E79"/>
      <w:sz w:val="32"/>
      <w:szCs w:val="32"/>
    </w:rPr>
  </w:style>
  <w:style w:type="paragraph" w:styleId="Heading2">
    <w:name w:val="Heading 2"/>
    <w:basedOn w:val="Normal"/>
    <w:next w:val="Normal"/>
    <w:qFormat/>
    <w:pPr>
      <w:spacing w:after="120" w:before="240"/>
      <w:outlineLvl w:val="1"/>
    </w:pPr>
    <w:rPr>
      <w:rFonts w:ascii="Microsoft YaHei" w:cs="Microsoft YaHei" w:eastAsia="Microsoft YaHei" w:hAnsi="Microsoft YaHe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pPr>
      <w:spacing w:after="100" w:before="180"/>
      <w:outlineLvl w:val="2"/>
    </w:pPr>
    <w:rPr>
      <w:rFonts w:ascii="Microsoft YaHei" w:cs="Microsoft YaHei" w:eastAsia="Microsoft YaHei" w:hAnsi="Microsoft YaHei"/>
      <w:b/>
      <w:bCs/>
      <w:color w:val="333333"/>
      <w:sz w:val="23"/>
      <w:szCs w:val="23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2026-08-21T22:47:04.845Z</dcterms:created>
  <dcterms:modified xsi:type="dcterms:W3CDTF">2026-08-21T22:47:04.847Z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